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胡建敏</w:t>
      </w:r>
      <w:r>
        <w:rPr>
          <w:rFonts w:hint="eastAsia"/>
          <w:sz w:val="15"/>
          <w:szCs w:val="15"/>
          <w:highlight w:val="none"/>
        </w:rPr>
        <w:t>，</w:t>
      </w:r>
      <w:r>
        <w:rPr>
          <w:rFonts w:hint="eastAsia"/>
          <w:sz w:val="15"/>
          <w:szCs w:val="15"/>
          <w:highlight w:val="none"/>
          <w:lang w:val="en-US" w:eastAsia="zh-CN"/>
        </w:rPr>
        <w:t>130126198302153315</w:t>
      </w:r>
      <w:r>
        <w:rPr>
          <w:rFonts w:hint="eastAsia"/>
          <w:sz w:val="15"/>
          <w:szCs w:val="15"/>
        </w:rPr>
        <w:t xml:space="preserve">  </w:t>
      </w:r>
      <w:r>
        <w:rPr>
          <w:rFonts w:hint="eastAsia"/>
          <w:sz w:val="15"/>
          <w:szCs w:val="15"/>
          <w:lang w:val="en-US" w:eastAsia="zh-CN"/>
        </w:rPr>
        <w:t>冀A3S467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