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栗军</w:t>
      </w:r>
      <w:r>
        <w:rPr>
          <w:rFonts w:hint="eastAsia"/>
          <w:sz w:val="15"/>
          <w:szCs w:val="15"/>
          <w:highlight w:val="none"/>
        </w:rPr>
        <w:t>，</w:t>
      </w:r>
      <w:r>
        <w:rPr>
          <w:rFonts w:hint="eastAsia"/>
          <w:sz w:val="15"/>
          <w:szCs w:val="15"/>
          <w:highlight w:val="none"/>
          <w:lang w:val="en-US" w:eastAsia="zh-CN"/>
        </w:rPr>
        <w:t>130126198302023019</w:t>
      </w:r>
      <w:r>
        <w:rPr>
          <w:rFonts w:hint="eastAsia"/>
          <w:sz w:val="15"/>
          <w:szCs w:val="15"/>
        </w:rPr>
        <w:t xml:space="preserve">  </w:t>
      </w:r>
      <w:r>
        <w:rPr>
          <w:rFonts w:hint="eastAsia"/>
          <w:sz w:val="15"/>
          <w:szCs w:val="15"/>
          <w:lang w:val="en-US" w:eastAsia="zh-CN"/>
        </w:rPr>
        <w:t>冀A521KD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