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丁海伟</w:t>
      </w:r>
      <w:r>
        <w:rPr>
          <w:rFonts w:hint="eastAsia"/>
          <w:sz w:val="15"/>
          <w:szCs w:val="15"/>
          <w:highlight w:val="none"/>
        </w:rPr>
        <w:t>，</w:t>
      </w:r>
      <w:r>
        <w:rPr>
          <w:rFonts w:hint="eastAsia"/>
          <w:sz w:val="15"/>
          <w:szCs w:val="15"/>
          <w:highlight w:val="none"/>
          <w:lang w:val="en-US" w:eastAsia="zh-CN"/>
        </w:rPr>
        <w:t>130126198301052715</w:t>
      </w:r>
      <w:r>
        <w:rPr>
          <w:rFonts w:hint="eastAsia"/>
          <w:sz w:val="15"/>
          <w:szCs w:val="15"/>
        </w:rPr>
        <w:t xml:space="preserve">  </w:t>
      </w:r>
      <w:r>
        <w:rPr>
          <w:rFonts w:hint="eastAsia"/>
          <w:sz w:val="15"/>
          <w:szCs w:val="15"/>
          <w:lang w:val="en-US" w:eastAsia="zh-CN"/>
        </w:rPr>
        <w:t>沪A27099A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