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闫江恩</w:t>
      </w:r>
      <w:r>
        <w:rPr>
          <w:rFonts w:hint="eastAsia"/>
          <w:sz w:val="15"/>
          <w:szCs w:val="15"/>
          <w:highlight w:val="none"/>
        </w:rPr>
        <w:t>，</w:t>
      </w:r>
      <w:r>
        <w:rPr>
          <w:rFonts w:hint="eastAsia"/>
          <w:sz w:val="15"/>
          <w:szCs w:val="15"/>
          <w:highlight w:val="none"/>
          <w:lang w:val="en-US" w:eastAsia="zh-CN"/>
        </w:rPr>
        <w:t>130126198211263017</w:t>
      </w:r>
      <w:r>
        <w:rPr>
          <w:rFonts w:hint="eastAsia"/>
          <w:sz w:val="15"/>
          <w:szCs w:val="15"/>
        </w:rPr>
        <w:t xml:space="preserve">  </w:t>
      </w:r>
      <w:r>
        <w:rPr>
          <w:rFonts w:hint="eastAsia"/>
          <w:sz w:val="15"/>
          <w:szCs w:val="15"/>
          <w:lang w:val="en-US" w:eastAsia="zh-CN"/>
        </w:rPr>
        <w:t>冀AH9251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