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田志龙</w:t>
      </w:r>
      <w:r>
        <w:rPr>
          <w:rFonts w:hint="eastAsia"/>
          <w:sz w:val="15"/>
          <w:szCs w:val="15"/>
          <w:highlight w:val="none"/>
        </w:rPr>
        <w:t>，</w:t>
      </w:r>
      <w:r>
        <w:rPr>
          <w:rFonts w:hint="eastAsia"/>
          <w:sz w:val="15"/>
          <w:szCs w:val="15"/>
          <w:highlight w:val="none"/>
          <w:lang w:val="en-US" w:eastAsia="zh-CN"/>
        </w:rPr>
        <w:t>130126198209292732</w:t>
      </w:r>
      <w:r>
        <w:rPr>
          <w:rFonts w:hint="eastAsia"/>
          <w:sz w:val="15"/>
          <w:szCs w:val="15"/>
        </w:rPr>
        <w:t xml:space="preserve">  </w:t>
      </w:r>
      <w:r>
        <w:rPr>
          <w:rFonts w:hint="eastAsia"/>
          <w:sz w:val="15"/>
          <w:szCs w:val="15"/>
          <w:lang w:val="en-US" w:eastAsia="zh-CN"/>
        </w:rPr>
        <w:t>冀A79452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