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胡建鹏</w:t>
      </w:r>
      <w:r>
        <w:rPr>
          <w:rFonts w:hint="eastAsia"/>
          <w:sz w:val="15"/>
          <w:szCs w:val="15"/>
          <w:highlight w:val="none"/>
        </w:rPr>
        <w:t>，</w:t>
      </w:r>
      <w:r>
        <w:rPr>
          <w:rFonts w:hint="eastAsia"/>
          <w:sz w:val="15"/>
          <w:szCs w:val="15"/>
          <w:highlight w:val="none"/>
          <w:lang w:val="en-US" w:eastAsia="zh-CN"/>
        </w:rPr>
        <w:t>130126198208242717</w:t>
      </w:r>
      <w:r>
        <w:rPr>
          <w:rFonts w:hint="eastAsia"/>
          <w:sz w:val="15"/>
          <w:szCs w:val="15"/>
        </w:rPr>
        <w:t xml:space="preserve">  </w:t>
      </w:r>
      <w:r>
        <w:rPr>
          <w:rFonts w:hint="eastAsia"/>
          <w:sz w:val="15"/>
          <w:szCs w:val="15"/>
          <w:lang w:val="en-US" w:eastAsia="zh-CN"/>
        </w:rPr>
        <w:t>冀A75F22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