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王晓明</w:t>
      </w:r>
      <w:r>
        <w:rPr>
          <w:rFonts w:hint="eastAsia"/>
          <w:sz w:val="15"/>
          <w:szCs w:val="15"/>
          <w:highlight w:val="none"/>
        </w:rPr>
        <w:t>，</w:t>
      </w:r>
      <w:r>
        <w:rPr>
          <w:rFonts w:hint="eastAsia"/>
          <w:sz w:val="15"/>
          <w:szCs w:val="15"/>
          <w:highlight w:val="none"/>
          <w:lang w:val="en-US" w:eastAsia="zh-CN"/>
        </w:rPr>
        <w:t>130126198208080017</w:t>
      </w:r>
      <w:r>
        <w:rPr>
          <w:rFonts w:hint="eastAsia"/>
          <w:sz w:val="15"/>
          <w:szCs w:val="15"/>
        </w:rPr>
        <w:t xml:space="preserve">  </w:t>
      </w:r>
      <w:r>
        <w:rPr>
          <w:rFonts w:hint="eastAsia"/>
          <w:sz w:val="15"/>
          <w:szCs w:val="15"/>
          <w:lang w:val="en-US" w:eastAsia="zh-CN"/>
        </w:rPr>
        <w:t>冀A56800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