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田春杰</w:t>
      </w:r>
      <w:r>
        <w:rPr>
          <w:rFonts w:hint="eastAsia"/>
          <w:sz w:val="15"/>
          <w:szCs w:val="15"/>
          <w:highlight w:val="none"/>
        </w:rPr>
        <w:t>，</w:t>
      </w:r>
      <w:r>
        <w:rPr>
          <w:rFonts w:hint="eastAsia"/>
          <w:sz w:val="15"/>
          <w:szCs w:val="15"/>
          <w:highlight w:val="none"/>
          <w:lang w:val="en-US" w:eastAsia="zh-CN"/>
        </w:rPr>
        <w:t>130126198208070011</w:t>
      </w:r>
      <w:r>
        <w:rPr>
          <w:rFonts w:hint="eastAsia"/>
          <w:sz w:val="15"/>
          <w:szCs w:val="15"/>
        </w:rPr>
        <w:t xml:space="preserve">  </w:t>
      </w:r>
      <w:r>
        <w:rPr>
          <w:rFonts w:hint="eastAsia"/>
          <w:sz w:val="15"/>
          <w:szCs w:val="15"/>
          <w:lang w:val="en-US" w:eastAsia="zh-CN"/>
        </w:rPr>
        <w:t>冀A684H9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