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段延峰</w:t>
      </w:r>
      <w:r>
        <w:rPr>
          <w:rFonts w:hint="eastAsia"/>
          <w:sz w:val="15"/>
          <w:szCs w:val="15"/>
          <w:highlight w:val="none"/>
        </w:rPr>
        <w:t>，</w:t>
      </w:r>
      <w:r>
        <w:rPr>
          <w:rFonts w:hint="eastAsia"/>
          <w:sz w:val="15"/>
          <w:szCs w:val="15"/>
          <w:highlight w:val="none"/>
          <w:lang w:val="en-US" w:eastAsia="zh-CN"/>
        </w:rPr>
        <w:t>130126198202242716</w:t>
      </w:r>
      <w:r>
        <w:rPr>
          <w:rFonts w:hint="eastAsia"/>
          <w:sz w:val="15"/>
          <w:szCs w:val="15"/>
        </w:rPr>
        <w:t xml:space="preserve">  </w:t>
      </w:r>
      <w:r>
        <w:rPr>
          <w:rFonts w:hint="eastAsia"/>
          <w:sz w:val="15"/>
          <w:szCs w:val="15"/>
          <w:lang w:val="en-US" w:eastAsia="zh-CN"/>
        </w:rPr>
        <w:t>冀A709SW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