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吴刚</w:t>
      </w:r>
      <w:r>
        <w:rPr>
          <w:rFonts w:hint="eastAsia"/>
          <w:sz w:val="15"/>
          <w:szCs w:val="15"/>
          <w:highlight w:val="none"/>
        </w:rPr>
        <w:t>，</w:t>
      </w:r>
      <w:r>
        <w:rPr>
          <w:rFonts w:hint="eastAsia"/>
          <w:sz w:val="15"/>
          <w:szCs w:val="15"/>
          <w:highlight w:val="none"/>
          <w:lang w:val="en-US" w:eastAsia="zh-CN"/>
        </w:rPr>
        <w:t>130126198101090311</w:t>
      </w:r>
      <w:r>
        <w:rPr>
          <w:rFonts w:hint="eastAsia"/>
          <w:sz w:val="15"/>
          <w:szCs w:val="15"/>
        </w:rPr>
        <w:t xml:space="preserve">  </w:t>
      </w:r>
      <w:r>
        <w:rPr>
          <w:rFonts w:hint="eastAsia"/>
          <w:sz w:val="15"/>
          <w:szCs w:val="15"/>
          <w:lang w:val="en-US" w:eastAsia="zh-CN"/>
        </w:rPr>
        <w:t>冀A4790Z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