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张伟军</w:t>
      </w:r>
      <w:r>
        <w:rPr>
          <w:rFonts w:hint="eastAsia"/>
          <w:sz w:val="15"/>
          <w:szCs w:val="15"/>
          <w:highlight w:val="none"/>
        </w:rPr>
        <w:t>，</w:t>
      </w:r>
      <w:r>
        <w:rPr>
          <w:rFonts w:hint="eastAsia"/>
          <w:sz w:val="15"/>
          <w:szCs w:val="15"/>
          <w:highlight w:val="none"/>
          <w:lang w:val="en-US" w:eastAsia="zh-CN"/>
        </w:rPr>
        <w:t>130126197903091813</w:t>
      </w:r>
      <w:r>
        <w:rPr>
          <w:rFonts w:hint="eastAsia"/>
          <w:sz w:val="15"/>
          <w:szCs w:val="15"/>
        </w:rPr>
        <w:t xml:space="preserve">  </w:t>
      </w:r>
      <w:r>
        <w:rPr>
          <w:rFonts w:hint="eastAsia"/>
          <w:sz w:val="15"/>
          <w:szCs w:val="15"/>
          <w:lang w:val="en-US" w:eastAsia="zh-CN"/>
        </w:rPr>
        <w:t>沪A68359D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