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许佳兴</w:t>
      </w:r>
      <w:r>
        <w:rPr>
          <w:rFonts w:hint="eastAsia"/>
          <w:sz w:val="15"/>
          <w:szCs w:val="15"/>
          <w:highlight w:val="none"/>
        </w:rPr>
        <w:t>，</w:t>
      </w:r>
      <w:r>
        <w:rPr>
          <w:rFonts w:hint="eastAsia"/>
          <w:sz w:val="15"/>
          <w:szCs w:val="15"/>
          <w:highlight w:val="none"/>
          <w:lang w:val="en-US" w:eastAsia="zh-CN"/>
        </w:rPr>
        <w:t>130125200601093520</w:t>
      </w:r>
      <w:r>
        <w:rPr>
          <w:rFonts w:hint="eastAsia"/>
          <w:sz w:val="15"/>
          <w:szCs w:val="15"/>
        </w:rPr>
        <w:t xml:space="preserve">  </w:t>
      </w:r>
      <w:r>
        <w:rPr>
          <w:rFonts w:hint="eastAsia"/>
          <w:sz w:val="15"/>
          <w:szCs w:val="15"/>
          <w:lang w:val="en-US" w:eastAsia="zh-CN"/>
        </w:rPr>
        <w:t>冀A72N45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