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李峰辉</w:t>
      </w:r>
      <w:r>
        <w:rPr>
          <w:rFonts w:hint="eastAsia"/>
          <w:sz w:val="15"/>
          <w:szCs w:val="15"/>
          <w:highlight w:val="none"/>
        </w:rPr>
        <w:t>，</w:t>
      </w:r>
      <w:r>
        <w:rPr>
          <w:rFonts w:hint="eastAsia"/>
          <w:sz w:val="15"/>
          <w:szCs w:val="15"/>
          <w:highlight w:val="none"/>
          <w:lang w:val="en-US" w:eastAsia="zh-CN"/>
        </w:rPr>
        <w:t>130123200604030039</w:t>
      </w:r>
      <w:r>
        <w:rPr>
          <w:rFonts w:hint="eastAsia"/>
          <w:sz w:val="15"/>
          <w:szCs w:val="15"/>
        </w:rPr>
        <w:t xml:space="preserve">  </w:t>
      </w:r>
      <w:r>
        <w:rPr>
          <w:rFonts w:hint="eastAsia"/>
          <w:sz w:val="15"/>
          <w:szCs w:val="15"/>
          <w:lang w:val="en-US" w:eastAsia="zh-CN"/>
        </w:rPr>
        <w:t>冀A3N032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