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王嘉豪</w:t>
      </w:r>
      <w:r>
        <w:rPr>
          <w:rFonts w:hint="eastAsia"/>
          <w:sz w:val="15"/>
          <w:szCs w:val="15"/>
          <w:highlight w:val="none"/>
        </w:rPr>
        <w:t>，</w:t>
      </w:r>
      <w:r>
        <w:rPr>
          <w:rFonts w:hint="eastAsia"/>
          <w:sz w:val="15"/>
          <w:szCs w:val="15"/>
          <w:highlight w:val="none"/>
          <w:lang w:val="en-US" w:eastAsia="zh-CN"/>
        </w:rPr>
        <w:t>130123200309147533</w:t>
      </w:r>
      <w:r>
        <w:rPr>
          <w:rFonts w:hint="eastAsia"/>
          <w:sz w:val="15"/>
          <w:szCs w:val="15"/>
        </w:rPr>
        <w:t xml:space="preserve">  </w:t>
      </w:r>
      <w:r>
        <w:rPr>
          <w:rFonts w:hint="eastAsia"/>
          <w:sz w:val="15"/>
          <w:szCs w:val="15"/>
          <w:lang w:val="en-US" w:eastAsia="zh-CN"/>
        </w:rPr>
        <w:t>冀A36S95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