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王龙超</w:t>
      </w:r>
      <w:r>
        <w:rPr>
          <w:rFonts w:hint="eastAsia"/>
          <w:sz w:val="15"/>
          <w:szCs w:val="15"/>
          <w:highlight w:val="none"/>
        </w:rPr>
        <w:t>，</w:t>
      </w:r>
      <w:r>
        <w:rPr>
          <w:rFonts w:hint="eastAsia"/>
          <w:sz w:val="15"/>
          <w:szCs w:val="15"/>
          <w:highlight w:val="none"/>
          <w:lang w:val="en-US" w:eastAsia="zh-CN"/>
        </w:rPr>
        <w:t>130123198907173336</w:t>
      </w:r>
      <w:r>
        <w:rPr>
          <w:rFonts w:hint="eastAsia"/>
          <w:sz w:val="15"/>
          <w:szCs w:val="15"/>
        </w:rPr>
        <w:t xml:space="preserve">  </w:t>
      </w:r>
      <w:r>
        <w:rPr>
          <w:rFonts w:hint="eastAsia"/>
          <w:sz w:val="15"/>
          <w:szCs w:val="15"/>
          <w:lang w:val="en-US" w:eastAsia="zh-CN"/>
        </w:rPr>
        <w:t>沪A79736D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