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王刚</w:t>
      </w:r>
      <w:r>
        <w:rPr>
          <w:rFonts w:hint="eastAsia"/>
          <w:sz w:val="15"/>
          <w:szCs w:val="15"/>
          <w:highlight w:val="none"/>
        </w:rPr>
        <w:t>，</w:t>
      </w:r>
      <w:r>
        <w:rPr>
          <w:rFonts w:hint="eastAsia"/>
          <w:sz w:val="15"/>
          <w:szCs w:val="15"/>
          <w:highlight w:val="none"/>
          <w:lang w:val="en-US" w:eastAsia="zh-CN"/>
        </w:rPr>
        <w:t>130123198702262714</w:t>
      </w:r>
      <w:r>
        <w:rPr>
          <w:rFonts w:hint="eastAsia"/>
          <w:sz w:val="15"/>
          <w:szCs w:val="15"/>
        </w:rPr>
        <w:t xml:space="preserve">  </w:t>
      </w:r>
      <w:r>
        <w:rPr>
          <w:rFonts w:hint="eastAsia"/>
          <w:sz w:val="15"/>
          <w:szCs w:val="15"/>
          <w:lang w:val="en-US" w:eastAsia="zh-CN"/>
        </w:rPr>
        <w:t>冀ATJ220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