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丁恒</w:t>
      </w:r>
      <w:r>
        <w:rPr>
          <w:rFonts w:hint="eastAsia"/>
          <w:sz w:val="15"/>
          <w:szCs w:val="15"/>
          <w:highlight w:val="none"/>
        </w:rPr>
        <w:t>，</w:t>
      </w:r>
      <w:r>
        <w:rPr>
          <w:rFonts w:hint="eastAsia"/>
          <w:sz w:val="15"/>
          <w:szCs w:val="15"/>
          <w:highlight w:val="none"/>
          <w:lang w:val="en-US" w:eastAsia="zh-CN"/>
        </w:rPr>
        <w:t>130123198311084551</w:t>
      </w:r>
      <w:r>
        <w:rPr>
          <w:rFonts w:hint="eastAsia"/>
          <w:sz w:val="15"/>
          <w:szCs w:val="15"/>
        </w:rPr>
        <w:t xml:space="preserve">  </w:t>
      </w:r>
      <w:r>
        <w:rPr>
          <w:rFonts w:hint="eastAsia"/>
          <w:sz w:val="15"/>
          <w:szCs w:val="15"/>
          <w:lang w:val="en-US" w:eastAsia="zh-CN"/>
        </w:rPr>
        <w:t>冀AS3068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