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袁雪雨</w:t>
      </w:r>
      <w:r>
        <w:rPr>
          <w:rFonts w:hint="eastAsia"/>
          <w:sz w:val="15"/>
          <w:szCs w:val="15"/>
          <w:highlight w:val="none"/>
        </w:rPr>
        <w:t>，</w:t>
      </w:r>
      <w:r>
        <w:rPr>
          <w:rFonts w:hint="eastAsia"/>
          <w:sz w:val="15"/>
          <w:szCs w:val="15"/>
          <w:highlight w:val="none"/>
          <w:lang w:val="en-US" w:eastAsia="zh-CN"/>
        </w:rPr>
        <w:t>130123198310204590</w:t>
      </w:r>
      <w:r>
        <w:rPr>
          <w:rFonts w:hint="eastAsia"/>
          <w:sz w:val="15"/>
          <w:szCs w:val="15"/>
        </w:rPr>
        <w:t xml:space="preserve">  </w:t>
      </w:r>
      <w:r>
        <w:rPr>
          <w:rFonts w:hint="eastAsia"/>
          <w:sz w:val="15"/>
          <w:szCs w:val="15"/>
          <w:lang w:val="en-US" w:eastAsia="zh-CN"/>
        </w:rPr>
        <w:t>冀AA3456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