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赵志刚</w:t>
      </w:r>
      <w:r>
        <w:rPr>
          <w:rFonts w:hint="eastAsia"/>
          <w:sz w:val="15"/>
          <w:szCs w:val="15"/>
          <w:highlight w:val="none"/>
        </w:rPr>
        <w:t>，</w:t>
      </w:r>
      <w:r>
        <w:rPr>
          <w:rFonts w:hint="eastAsia"/>
          <w:sz w:val="15"/>
          <w:szCs w:val="15"/>
          <w:highlight w:val="none"/>
          <w:lang w:val="en-US" w:eastAsia="zh-CN"/>
        </w:rPr>
        <w:t>130123198306265411</w:t>
      </w:r>
      <w:r>
        <w:rPr>
          <w:rFonts w:hint="eastAsia"/>
          <w:sz w:val="15"/>
          <w:szCs w:val="15"/>
        </w:rPr>
        <w:t xml:space="preserve">  </w:t>
      </w:r>
      <w:r>
        <w:rPr>
          <w:rFonts w:hint="eastAsia"/>
          <w:sz w:val="15"/>
          <w:szCs w:val="15"/>
          <w:lang w:val="en-US" w:eastAsia="zh-CN"/>
        </w:rPr>
        <w:t>冀A237AN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