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陈计辉</w:t>
      </w:r>
      <w:r>
        <w:rPr>
          <w:rFonts w:hint="eastAsia"/>
          <w:sz w:val="15"/>
          <w:szCs w:val="15"/>
          <w:highlight w:val="none"/>
        </w:rPr>
        <w:t>，</w:t>
      </w:r>
      <w:r>
        <w:rPr>
          <w:rFonts w:hint="eastAsia"/>
          <w:sz w:val="15"/>
          <w:szCs w:val="15"/>
          <w:highlight w:val="none"/>
          <w:lang w:val="en-US" w:eastAsia="zh-CN"/>
        </w:rPr>
        <w:t>130123198306123915</w:t>
      </w:r>
      <w:r>
        <w:rPr>
          <w:rFonts w:hint="eastAsia"/>
          <w:sz w:val="15"/>
          <w:szCs w:val="15"/>
        </w:rPr>
        <w:t xml:space="preserve">  </w:t>
      </w:r>
      <w:r>
        <w:rPr>
          <w:rFonts w:hint="eastAsia"/>
          <w:sz w:val="15"/>
          <w:szCs w:val="15"/>
          <w:lang w:val="en-US" w:eastAsia="zh-CN"/>
        </w:rPr>
        <w:t>冀AV7716</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