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刘燕</w:t>
      </w:r>
      <w:r>
        <w:rPr>
          <w:rFonts w:hint="eastAsia"/>
          <w:sz w:val="15"/>
          <w:szCs w:val="15"/>
          <w:highlight w:val="none"/>
        </w:rPr>
        <w:t>，</w:t>
      </w:r>
      <w:r>
        <w:rPr>
          <w:rFonts w:hint="eastAsia"/>
          <w:sz w:val="15"/>
          <w:szCs w:val="15"/>
          <w:highlight w:val="none"/>
          <w:lang w:val="en-US" w:eastAsia="zh-CN"/>
        </w:rPr>
        <w:t>130123198305124529</w:t>
      </w:r>
      <w:r>
        <w:rPr>
          <w:rFonts w:hint="eastAsia"/>
          <w:sz w:val="15"/>
          <w:szCs w:val="15"/>
        </w:rPr>
        <w:t xml:space="preserve">  </w:t>
      </w:r>
      <w:r>
        <w:rPr>
          <w:rFonts w:hint="eastAsia"/>
          <w:sz w:val="15"/>
          <w:szCs w:val="15"/>
          <w:lang w:val="en-US" w:eastAsia="zh-CN"/>
        </w:rPr>
        <w:t>冀A689B6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