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赵文信</w:t>
      </w:r>
      <w:r>
        <w:rPr>
          <w:rFonts w:hint="eastAsia"/>
          <w:sz w:val="15"/>
          <w:szCs w:val="15"/>
          <w:highlight w:val="none"/>
        </w:rPr>
        <w:t>，</w:t>
      </w:r>
      <w:r>
        <w:rPr>
          <w:rFonts w:hint="eastAsia"/>
          <w:sz w:val="15"/>
          <w:szCs w:val="15"/>
          <w:highlight w:val="none"/>
          <w:lang w:val="en-US" w:eastAsia="zh-CN"/>
        </w:rPr>
        <w:t>130123198204305419</w:t>
      </w:r>
      <w:r>
        <w:rPr>
          <w:rFonts w:hint="eastAsia"/>
          <w:sz w:val="15"/>
          <w:szCs w:val="15"/>
        </w:rPr>
        <w:t xml:space="preserve">  </w:t>
      </w:r>
      <w:r>
        <w:rPr>
          <w:rFonts w:hint="eastAsia"/>
          <w:sz w:val="15"/>
          <w:szCs w:val="15"/>
          <w:lang w:val="en-US" w:eastAsia="zh-CN"/>
        </w:rPr>
        <w:t>冀APP461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