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邢惠现</w:t>
      </w:r>
      <w:r>
        <w:rPr>
          <w:rFonts w:hint="eastAsia"/>
          <w:sz w:val="15"/>
          <w:szCs w:val="15"/>
          <w:highlight w:val="none"/>
        </w:rPr>
        <w:t>，</w:t>
      </w:r>
      <w:r>
        <w:rPr>
          <w:rFonts w:hint="eastAsia"/>
          <w:sz w:val="15"/>
          <w:szCs w:val="15"/>
          <w:highlight w:val="none"/>
          <w:lang w:val="en-US" w:eastAsia="zh-CN"/>
        </w:rPr>
        <w:t>130123198001270041</w:t>
      </w:r>
      <w:r>
        <w:rPr>
          <w:rFonts w:hint="eastAsia"/>
          <w:sz w:val="15"/>
          <w:szCs w:val="15"/>
        </w:rPr>
        <w:t xml:space="preserve">  </w:t>
      </w:r>
      <w:r>
        <w:rPr>
          <w:rFonts w:hint="eastAsia"/>
          <w:sz w:val="15"/>
          <w:szCs w:val="15"/>
          <w:lang w:val="en-US" w:eastAsia="zh-CN"/>
        </w:rPr>
        <w:t>冀A64017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