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秦书强</w:t>
      </w:r>
      <w:r>
        <w:rPr>
          <w:rFonts w:hint="eastAsia"/>
          <w:sz w:val="15"/>
          <w:szCs w:val="15"/>
          <w:highlight w:val="none"/>
        </w:rPr>
        <w:t>，</w:t>
      </w:r>
      <w:r>
        <w:rPr>
          <w:rFonts w:hint="eastAsia"/>
          <w:sz w:val="15"/>
          <w:szCs w:val="15"/>
          <w:highlight w:val="none"/>
          <w:lang w:val="en-US" w:eastAsia="zh-CN"/>
        </w:rPr>
        <w:t>130123198001245436</w:t>
      </w:r>
      <w:r>
        <w:rPr>
          <w:rFonts w:hint="eastAsia"/>
          <w:sz w:val="15"/>
          <w:szCs w:val="15"/>
        </w:rPr>
        <w:t xml:space="preserve">  </w:t>
      </w:r>
      <w:r>
        <w:rPr>
          <w:rFonts w:hint="eastAsia"/>
          <w:sz w:val="15"/>
          <w:szCs w:val="15"/>
          <w:lang w:val="en-US" w:eastAsia="zh-CN"/>
        </w:rPr>
        <w:t>冀AH4122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