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蔡艳省</w:t>
      </w:r>
      <w:r>
        <w:rPr>
          <w:rFonts w:hint="eastAsia"/>
          <w:sz w:val="15"/>
          <w:szCs w:val="15"/>
          <w:highlight w:val="none"/>
        </w:rPr>
        <w:t>，</w:t>
      </w:r>
      <w:r>
        <w:rPr>
          <w:rFonts w:hint="eastAsia"/>
          <w:sz w:val="15"/>
          <w:szCs w:val="15"/>
          <w:highlight w:val="none"/>
          <w:lang w:val="en-US" w:eastAsia="zh-CN"/>
        </w:rPr>
        <w:t>130123197911115716</w:t>
      </w:r>
      <w:r>
        <w:rPr>
          <w:rFonts w:hint="eastAsia"/>
          <w:sz w:val="15"/>
          <w:szCs w:val="15"/>
        </w:rPr>
        <w:t xml:space="preserve">  </w:t>
      </w:r>
      <w:r>
        <w:rPr>
          <w:rFonts w:hint="eastAsia"/>
          <w:sz w:val="15"/>
          <w:szCs w:val="15"/>
          <w:lang w:val="en-US" w:eastAsia="zh-CN"/>
        </w:rPr>
        <w:t>冀AG4661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