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金庆刚</w:t>
      </w:r>
      <w:r>
        <w:rPr>
          <w:rFonts w:hint="eastAsia"/>
          <w:sz w:val="15"/>
          <w:szCs w:val="15"/>
          <w:highlight w:val="none"/>
        </w:rPr>
        <w:t>，</w:t>
      </w:r>
      <w:r>
        <w:rPr>
          <w:rFonts w:hint="eastAsia"/>
          <w:sz w:val="15"/>
          <w:szCs w:val="15"/>
          <w:highlight w:val="none"/>
          <w:lang w:val="en-US" w:eastAsia="zh-CN"/>
        </w:rPr>
        <w:t>130123197806105110</w:t>
      </w:r>
      <w:r>
        <w:rPr>
          <w:rFonts w:hint="eastAsia"/>
          <w:sz w:val="15"/>
          <w:szCs w:val="15"/>
        </w:rPr>
        <w:t xml:space="preserve">  </w:t>
      </w:r>
      <w:r>
        <w:rPr>
          <w:rFonts w:hint="eastAsia"/>
          <w:sz w:val="15"/>
          <w:szCs w:val="15"/>
          <w:lang w:val="en-US" w:eastAsia="zh-CN"/>
        </w:rPr>
        <w:t>冀A38610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