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崔振军</w:t>
      </w:r>
      <w:r>
        <w:rPr>
          <w:rFonts w:hint="eastAsia"/>
          <w:sz w:val="15"/>
          <w:szCs w:val="15"/>
          <w:highlight w:val="none"/>
        </w:rPr>
        <w:t>，</w:t>
      </w:r>
      <w:r>
        <w:rPr>
          <w:rFonts w:hint="eastAsia"/>
          <w:sz w:val="15"/>
          <w:szCs w:val="15"/>
          <w:highlight w:val="none"/>
          <w:lang w:val="en-US" w:eastAsia="zh-CN"/>
        </w:rPr>
        <w:t>130123197706155153</w:t>
      </w:r>
      <w:r>
        <w:rPr>
          <w:rFonts w:hint="eastAsia"/>
          <w:sz w:val="15"/>
          <w:szCs w:val="15"/>
        </w:rPr>
        <w:t xml:space="preserve">  </w:t>
      </w:r>
      <w:r>
        <w:rPr>
          <w:rFonts w:hint="eastAsia"/>
          <w:sz w:val="15"/>
          <w:szCs w:val="15"/>
          <w:lang w:val="en-US" w:eastAsia="zh-CN"/>
        </w:rPr>
        <w:t>沪A01502A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