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吴文敏</w:t>
      </w:r>
      <w:r>
        <w:rPr>
          <w:rFonts w:hint="eastAsia"/>
          <w:sz w:val="15"/>
          <w:szCs w:val="15"/>
          <w:highlight w:val="none"/>
        </w:rPr>
        <w:t>，</w:t>
      </w:r>
      <w:r>
        <w:rPr>
          <w:rFonts w:hint="eastAsia"/>
          <w:sz w:val="15"/>
          <w:szCs w:val="15"/>
          <w:highlight w:val="none"/>
          <w:lang w:val="en-US" w:eastAsia="zh-CN"/>
        </w:rPr>
        <w:t>130123197403225724</w:t>
      </w:r>
      <w:r>
        <w:rPr>
          <w:rFonts w:hint="eastAsia"/>
          <w:sz w:val="15"/>
          <w:szCs w:val="15"/>
        </w:rPr>
        <w:t xml:space="preserve">  </w:t>
      </w:r>
      <w:r>
        <w:rPr>
          <w:rFonts w:hint="eastAsia"/>
          <w:sz w:val="15"/>
          <w:szCs w:val="15"/>
          <w:lang w:val="en-US" w:eastAsia="zh-CN"/>
        </w:rPr>
        <w:t>冀A527MF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