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马跃龙</w:t>
      </w:r>
      <w:r>
        <w:rPr>
          <w:rFonts w:hint="eastAsia"/>
          <w:sz w:val="15"/>
          <w:szCs w:val="15"/>
          <w:highlight w:val="none"/>
        </w:rPr>
        <w:t>，</w:t>
      </w:r>
      <w:r>
        <w:rPr>
          <w:rFonts w:hint="eastAsia"/>
          <w:sz w:val="15"/>
          <w:szCs w:val="15"/>
          <w:highlight w:val="none"/>
          <w:lang w:val="en-US" w:eastAsia="zh-CN"/>
        </w:rPr>
        <w:t>130122197906136233</w:t>
      </w:r>
      <w:r>
        <w:rPr>
          <w:rFonts w:hint="eastAsia"/>
          <w:sz w:val="15"/>
          <w:szCs w:val="15"/>
        </w:rPr>
        <w:t xml:space="preserve">  </w:t>
      </w:r>
      <w:r>
        <w:rPr>
          <w:rFonts w:hint="eastAsia"/>
          <w:sz w:val="15"/>
          <w:szCs w:val="15"/>
          <w:lang w:val="en-US" w:eastAsia="zh-CN"/>
        </w:rPr>
        <w:t>沪A76605D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