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白海龙</w:t>
      </w:r>
      <w:r>
        <w:rPr>
          <w:rFonts w:hint="eastAsia"/>
          <w:sz w:val="15"/>
          <w:szCs w:val="15"/>
          <w:highlight w:val="none"/>
        </w:rPr>
        <w:t>，</w:t>
      </w:r>
      <w:r>
        <w:rPr>
          <w:rFonts w:hint="eastAsia"/>
          <w:sz w:val="15"/>
          <w:szCs w:val="15"/>
          <w:highlight w:val="none"/>
          <w:lang w:val="en-US" w:eastAsia="zh-CN"/>
        </w:rPr>
        <w:t>130122197812224312</w:t>
      </w:r>
      <w:r>
        <w:rPr>
          <w:rFonts w:hint="eastAsia"/>
          <w:sz w:val="15"/>
          <w:szCs w:val="15"/>
        </w:rPr>
        <w:t xml:space="preserve">  </w:t>
      </w:r>
      <w:r>
        <w:rPr>
          <w:rFonts w:hint="eastAsia"/>
          <w:sz w:val="15"/>
          <w:szCs w:val="15"/>
          <w:lang w:val="en-US" w:eastAsia="zh-CN"/>
        </w:rPr>
        <w:t>沪A16100A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