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马超剑</w:t>
      </w:r>
      <w:r>
        <w:rPr>
          <w:rFonts w:hint="eastAsia"/>
          <w:sz w:val="15"/>
          <w:szCs w:val="15"/>
          <w:highlight w:val="none"/>
        </w:rPr>
        <w:t>，</w:t>
      </w:r>
      <w:r>
        <w:rPr>
          <w:rFonts w:hint="eastAsia"/>
          <w:sz w:val="15"/>
          <w:szCs w:val="15"/>
          <w:highlight w:val="none"/>
          <w:lang w:val="en-US" w:eastAsia="zh-CN"/>
        </w:rPr>
        <w:t>130121199012252617</w:t>
      </w:r>
      <w:r>
        <w:rPr>
          <w:rFonts w:hint="eastAsia"/>
          <w:sz w:val="15"/>
          <w:szCs w:val="15"/>
        </w:rPr>
        <w:t xml:space="preserve">  </w:t>
      </w:r>
      <w:r>
        <w:rPr>
          <w:rFonts w:hint="eastAsia"/>
          <w:sz w:val="15"/>
          <w:szCs w:val="15"/>
          <w:lang w:val="en-US" w:eastAsia="zh-CN"/>
        </w:rPr>
        <w:t>冀A384AC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