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杨国龙</w:t>
      </w:r>
      <w:r>
        <w:rPr>
          <w:rFonts w:hint="eastAsia"/>
          <w:sz w:val="15"/>
          <w:szCs w:val="15"/>
          <w:highlight w:val="none"/>
        </w:rPr>
        <w:t>，</w:t>
      </w:r>
      <w:r>
        <w:rPr>
          <w:rFonts w:hint="eastAsia"/>
          <w:sz w:val="15"/>
          <w:szCs w:val="15"/>
          <w:highlight w:val="none"/>
          <w:lang w:val="en-US" w:eastAsia="zh-CN"/>
        </w:rPr>
        <w:t>13012119870715201X</w:t>
      </w:r>
      <w:r>
        <w:rPr>
          <w:rFonts w:hint="eastAsia"/>
          <w:sz w:val="15"/>
          <w:szCs w:val="15"/>
        </w:rPr>
        <w:t xml:space="preserve">  </w:t>
      </w:r>
      <w:r>
        <w:rPr>
          <w:rFonts w:hint="eastAsia"/>
          <w:sz w:val="15"/>
          <w:szCs w:val="15"/>
          <w:lang w:val="en-US" w:eastAsia="zh-CN"/>
        </w:rPr>
        <w:t>冀ACP541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