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高俊山</w:t>
      </w:r>
      <w:r>
        <w:rPr>
          <w:rFonts w:hint="eastAsia"/>
          <w:sz w:val="15"/>
          <w:szCs w:val="15"/>
          <w:highlight w:val="none"/>
        </w:rPr>
        <w:t>，</w:t>
      </w:r>
      <w:r>
        <w:rPr>
          <w:rFonts w:hint="eastAsia"/>
          <w:sz w:val="15"/>
          <w:szCs w:val="15"/>
          <w:highlight w:val="none"/>
          <w:lang w:val="en-US" w:eastAsia="zh-CN"/>
        </w:rPr>
        <w:t>130121198504292813</w:t>
      </w:r>
      <w:r>
        <w:rPr>
          <w:rFonts w:hint="eastAsia"/>
          <w:sz w:val="15"/>
          <w:szCs w:val="15"/>
        </w:rPr>
        <w:t xml:space="preserve">  </w:t>
      </w:r>
      <w:r>
        <w:rPr>
          <w:rFonts w:hint="eastAsia"/>
          <w:sz w:val="15"/>
          <w:szCs w:val="15"/>
          <w:lang w:val="en-US" w:eastAsia="zh-CN"/>
        </w:rPr>
        <w:t>冀A094MB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