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冯俊义</w:t>
      </w:r>
      <w:r>
        <w:rPr>
          <w:rFonts w:hint="eastAsia"/>
          <w:sz w:val="15"/>
          <w:szCs w:val="15"/>
          <w:highlight w:val="none"/>
        </w:rPr>
        <w:t>，</w:t>
      </w:r>
      <w:r>
        <w:rPr>
          <w:rFonts w:hint="eastAsia"/>
          <w:sz w:val="15"/>
          <w:szCs w:val="15"/>
          <w:highlight w:val="none"/>
          <w:lang w:val="en-US" w:eastAsia="zh-CN"/>
        </w:rPr>
        <w:t>13012119720120261X</w:t>
      </w:r>
      <w:r>
        <w:rPr>
          <w:rFonts w:hint="eastAsia"/>
          <w:sz w:val="15"/>
          <w:szCs w:val="15"/>
        </w:rPr>
        <w:t xml:space="preserve">  </w:t>
      </w:r>
      <w:r>
        <w:rPr>
          <w:rFonts w:hint="eastAsia"/>
          <w:sz w:val="15"/>
          <w:szCs w:val="15"/>
          <w:lang w:val="en-US" w:eastAsia="zh-CN"/>
        </w:rPr>
        <w:t>冀A01325D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