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白梓凡</w:t>
      </w:r>
      <w:r>
        <w:rPr>
          <w:rFonts w:hint="eastAsia"/>
          <w:sz w:val="15"/>
          <w:szCs w:val="15"/>
          <w:highlight w:val="none"/>
        </w:rPr>
        <w:t>，</w:t>
      </w:r>
      <w:r>
        <w:rPr>
          <w:rFonts w:hint="eastAsia"/>
          <w:sz w:val="15"/>
          <w:szCs w:val="15"/>
          <w:highlight w:val="none"/>
          <w:lang w:val="en-US" w:eastAsia="zh-CN"/>
        </w:rPr>
        <w:t>13010520060127211X</w:t>
      </w:r>
      <w:r>
        <w:rPr>
          <w:rFonts w:hint="eastAsia"/>
          <w:sz w:val="15"/>
          <w:szCs w:val="15"/>
        </w:rPr>
        <w:t xml:space="preserve">  </w:t>
      </w:r>
      <w:r>
        <w:rPr>
          <w:rFonts w:hint="eastAsia"/>
          <w:sz w:val="15"/>
          <w:szCs w:val="15"/>
          <w:lang w:val="en-US" w:eastAsia="zh-CN"/>
        </w:rPr>
        <w:t>冀A53928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