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王建伟</w:t>
      </w:r>
      <w:r>
        <w:rPr>
          <w:rFonts w:hint="eastAsia"/>
          <w:sz w:val="15"/>
          <w:szCs w:val="15"/>
          <w:highlight w:val="none"/>
        </w:rPr>
        <w:t>，</w:t>
      </w:r>
      <w:r>
        <w:rPr>
          <w:rFonts w:hint="eastAsia"/>
          <w:sz w:val="15"/>
          <w:szCs w:val="15"/>
          <w:highlight w:val="none"/>
          <w:lang w:val="en-US" w:eastAsia="zh-CN"/>
        </w:rPr>
        <w:t>130103198207030910</w:t>
      </w:r>
      <w:r>
        <w:rPr>
          <w:rFonts w:hint="eastAsia"/>
          <w:sz w:val="15"/>
          <w:szCs w:val="15"/>
        </w:rPr>
        <w:t xml:space="preserve">  </w:t>
      </w:r>
      <w:r>
        <w:rPr>
          <w:rFonts w:hint="eastAsia"/>
          <w:sz w:val="15"/>
          <w:szCs w:val="15"/>
          <w:lang w:val="en-US" w:eastAsia="zh-CN"/>
        </w:rPr>
        <w:t>冀A9828U</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