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刘玉杰</w:t>
      </w:r>
      <w:r>
        <w:rPr>
          <w:rFonts w:hint="eastAsia"/>
          <w:sz w:val="15"/>
          <w:szCs w:val="15"/>
          <w:highlight w:val="none"/>
        </w:rPr>
        <w:t>，</w:t>
      </w:r>
      <w:r>
        <w:rPr>
          <w:rFonts w:hint="eastAsia"/>
          <w:sz w:val="15"/>
          <w:szCs w:val="15"/>
          <w:highlight w:val="none"/>
          <w:lang w:val="en-US" w:eastAsia="zh-CN"/>
        </w:rPr>
        <w:t>130103198203111836</w:t>
      </w:r>
      <w:r>
        <w:rPr>
          <w:rFonts w:hint="eastAsia"/>
          <w:sz w:val="15"/>
          <w:szCs w:val="15"/>
        </w:rPr>
        <w:t xml:space="preserve">  </w:t>
      </w:r>
      <w:r>
        <w:rPr>
          <w:rFonts w:hint="eastAsia"/>
          <w:sz w:val="15"/>
          <w:szCs w:val="15"/>
          <w:lang w:val="en-US" w:eastAsia="zh-CN"/>
        </w:rPr>
        <w:t>川A25310D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