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胡国强</w:t>
      </w:r>
      <w:r>
        <w:rPr>
          <w:rFonts w:hint="eastAsia"/>
          <w:sz w:val="15"/>
          <w:szCs w:val="15"/>
          <w:highlight w:val="none"/>
        </w:rPr>
        <w:t>，</w:t>
      </w:r>
      <w:r>
        <w:rPr>
          <w:rFonts w:hint="eastAsia"/>
          <w:sz w:val="15"/>
          <w:szCs w:val="15"/>
          <w:highlight w:val="none"/>
          <w:lang w:val="en-US" w:eastAsia="zh-CN"/>
        </w:rPr>
        <w:t>130102197509241552</w:t>
      </w:r>
      <w:r>
        <w:rPr>
          <w:rFonts w:hint="eastAsia"/>
          <w:sz w:val="15"/>
          <w:szCs w:val="15"/>
        </w:rPr>
        <w:t xml:space="preserve">  </w:t>
      </w:r>
      <w:r>
        <w:rPr>
          <w:rFonts w:hint="eastAsia"/>
          <w:sz w:val="15"/>
          <w:szCs w:val="15"/>
          <w:lang w:val="en-US" w:eastAsia="zh-CN"/>
        </w:rPr>
        <w:t>冀A1538Y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