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张雷雷</w:t>
      </w:r>
      <w:r>
        <w:rPr>
          <w:rFonts w:hint="eastAsia"/>
          <w:sz w:val="15"/>
          <w:szCs w:val="15"/>
          <w:highlight w:val="none"/>
        </w:rPr>
        <w:t>，</w:t>
      </w:r>
      <w:r>
        <w:rPr>
          <w:rFonts w:hint="eastAsia"/>
          <w:sz w:val="15"/>
          <w:szCs w:val="15"/>
          <w:highlight w:val="none"/>
          <w:lang w:val="en-US" w:eastAsia="zh-CN"/>
        </w:rPr>
        <w:t>411425199001122411</w:t>
      </w:r>
      <w:r>
        <w:rPr>
          <w:rFonts w:hint="eastAsia"/>
          <w:sz w:val="15"/>
          <w:szCs w:val="15"/>
        </w:rPr>
        <w:t xml:space="preserve">  </w:t>
      </w:r>
      <w:r>
        <w:rPr>
          <w:rFonts w:hint="eastAsia"/>
          <w:sz w:val="15"/>
          <w:szCs w:val="15"/>
          <w:lang w:val="en-US" w:eastAsia="zh-CN"/>
        </w:rPr>
        <w:t>冀B05347D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