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辛福春</w:t>
      </w:r>
      <w:r>
        <w:rPr>
          <w:rFonts w:hint="eastAsia"/>
          <w:sz w:val="15"/>
          <w:szCs w:val="15"/>
          <w:highlight w:val="none"/>
        </w:rPr>
        <w:t>，</w:t>
      </w:r>
      <w:r>
        <w:rPr>
          <w:rFonts w:hint="eastAsia"/>
          <w:sz w:val="15"/>
          <w:szCs w:val="15"/>
          <w:highlight w:val="none"/>
          <w:lang w:val="en-US" w:eastAsia="zh-CN"/>
        </w:rPr>
        <w:t>239005198101203616</w:t>
      </w:r>
      <w:r>
        <w:rPr>
          <w:rFonts w:hint="eastAsia"/>
          <w:sz w:val="15"/>
          <w:szCs w:val="15"/>
        </w:rPr>
        <w:t xml:space="preserve">  </w:t>
      </w:r>
      <w:r>
        <w:rPr>
          <w:rFonts w:hint="eastAsia"/>
          <w:sz w:val="15"/>
          <w:szCs w:val="15"/>
          <w:lang w:val="en-US" w:eastAsia="zh-CN"/>
        </w:rPr>
        <w:t>晋AAW222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