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万营</w:t>
      </w:r>
      <w:r>
        <w:rPr>
          <w:rFonts w:hint="eastAsia"/>
          <w:sz w:val="15"/>
          <w:szCs w:val="15"/>
          <w:highlight w:val="none"/>
        </w:rPr>
        <w:t>，</w:t>
      </w:r>
      <w:r>
        <w:rPr>
          <w:rFonts w:hint="eastAsia"/>
          <w:sz w:val="15"/>
          <w:szCs w:val="15"/>
          <w:highlight w:val="none"/>
          <w:lang w:val="en-US" w:eastAsia="zh-CN"/>
        </w:rPr>
        <w:t>220284199505210610</w:t>
      </w:r>
      <w:r>
        <w:rPr>
          <w:rFonts w:hint="eastAsia"/>
          <w:sz w:val="15"/>
          <w:szCs w:val="15"/>
        </w:rPr>
        <w:t xml:space="preserve">  </w:t>
      </w:r>
      <w:r>
        <w:rPr>
          <w:rFonts w:hint="eastAsia"/>
          <w:sz w:val="15"/>
          <w:szCs w:val="15"/>
          <w:lang w:val="en-US" w:eastAsia="zh-CN"/>
        </w:rPr>
        <w:t>吉AZK649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