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岳春广</w:t>
      </w:r>
      <w:r>
        <w:rPr>
          <w:rFonts w:hint="eastAsia"/>
          <w:sz w:val="15"/>
          <w:szCs w:val="15"/>
          <w:highlight w:val="none"/>
        </w:rPr>
        <w:t>，</w:t>
      </w:r>
      <w:r>
        <w:rPr>
          <w:rFonts w:hint="eastAsia"/>
          <w:sz w:val="15"/>
          <w:szCs w:val="15"/>
          <w:highlight w:val="none"/>
          <w:lang w:val="en-US" w:eastAsia="zh-CN"/>
        </w:rPr>
        <w:t>211002197407225653</w:t>
      </w:r>
      <w:r>
        <w:rPr>
          <w:rFonts w:hint="eastAsia"/>
          <w:sz w:val="15"/>
          <w:szCs w:val="15"/>
        </w:rPr>
        <w:t xml:space="preserve">  </w:t>
      </w:r>
      <w:r>
        <w:rPr>
          <w:rFonts w:hint="eastAsia"/>
          <w:sz w:val="15"/>
          <w:szCs w:val="15"/>
          <w:lang w:val="en-US" w:eastAsia="zh-CN"/>
        </w:rPr>
        <w:t>辽AEE339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