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李飞</w:t>
      </w:r>
      <w:r>
        <w:rPr>
          <w:rFonts w:hint="eastAsia"/>
          <w:sz w:val="15"/>
          <w:szCs w:val="15"/>
          <w:highlight w:val="none"/>
        </w:rPr>
        <w:t>，</w:t>
      </w:r>
      <w:r>
        <w:rPr>
          <w:rFonts w:hint="eastAsia"/>
          <w:sz w:val="15"/>
          <w:szCs w:val="15"/>
          <w:highlight w:val="none"/>
          <w:lang w:val="en-US" w:eastAsia="zh-CN"/>
        </w:rPr>
        <w:t>210105197902153419</w:t>
      </w:r>
      <w:r>
        <w:rPr>
          <w:rFonts w:hint="eastAsia"/>
          <w:sz w:val="15"/>
          <w:szCs w:val="15"/>
        </w:rPr>
        <w:t xml:space="preserve">  </w:t>
      </w:r>
      <w:r>
        <w:rPr>
          <w:rFonts w:hint="eastAsia"/>
          <w:sz w:val="15"/>
          <w:szCs w:val="15"/>
          <w:lang w:val="en-US" w:eastAsia="zh-CN"/>
        </w:rPr>
        <w:t>冀T67910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