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李洪升</w:t>
      </w:r>
      <w:r>
        <w:rPr>
          <w:rFonts w:hint="eastAsia"/>
          <w:sz w:val="15"/>
          <w:szCs w:val="15"/>
          <w:highlight w:val="none"/>
        </w:rPr>
        <w:t>，</w:t>
      </w:r>
      <w:r>
        <w:rPr>
          <w:rFonts w:hint="eastAsia"/>
          <w:sz w:val="15"/>
          <w:szCs w:val="15"/>
          <w:highlight w:val="none"/>
          <w:lang w:val="en-US" w:eastAsia="zh-CN"/>
        </w:rPr>
        <w:t>152322199308101511</w:t>
      </w:r>
      <w:r>
        <w:rPr>
          <w:rFonts w:hint="eastAsia"/>
          <w:sz w:val="15"/>
          <w:szCs w:val="15"/>
        </w:rPr>
        <w:t xml:space="preserve">  </w:t>
      </w:r>
      <w:r>
        <w:rPr>
          <w:rFonts w:hint="eastAsia"/>
          <w:sz w:val="15"/>
          <w:szCs w:val="15"/>
          <w:lang w:val="en-US" w:eastAsia="zh-CN"/>
        </w:rPr>
        <w:t>辽ADH076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