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刘宝安</w:t>
      </w:r>
      <w:r>
        <w:rPr>
          <w:rFonts w:hint="eastAsia"/>
          <w:sz w:val="15"/>
          <w:szCs w:val="15"/>
          <w:highlight w:val="none"/>
        </w:rPr>
        <w:t>，</w:t>
      </w:r>
      <w:r>
        <w:rPr>
          <w:rFonts w:hint="eastAsia"/>
          <w:sz w:val="15"/>
          <w:szCs w:val="15"/>
          <w:highlight w:val="none"/>
          <w:lang w:val="en-US" w:eastAsia="zh-CN"/>
        </w:rPr>
        <w:t>152201198609243511</w:t>
      </w:r>
      <w:r>
        <w:rPr>
          <w:rFonts w:hint="eastAsia"/>
          <w:sz w:val="15"/>
          <w:szCs w:val="15"/>
        </w:rPr>
        <w:t xml:space="preserve">  </w:t>
      </w:r>
      <w:r>
        <w:rPr>
          <w:rFonts w:hint="eastAsia"/>
          <w:sz w:val="15"/>
          <w:szCs w:val="15"/>
          <w:lang w:val="en-US" w:eastAsia="zh-CN"/>
        </w:rPr>
        <w:t>辽K5A205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