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韩平</w:t>
      </w:r>
      <w:r>
        <w:rPr>
          <w:rFonts w:hint="eastAsia"/>
          <w:sz w:val="15"/>
          <w:szCs w:val="15"/>
          <w:highlight w:val="none"/>
        </w:rPr>
        <w:t>，</w:t>
      </w:r>
      <w:r>
        <w:rPr>
          <w:rFonts w:hint="eastAsia"/>
          <w:sz w:val="15"/>
          <w:szCs w:val="15"/>
          <w:highlight w:val="none"/>
          <w:lang w:val="en-US" w:eastAsia="zh-CN"/>
        </w:rPr>
        <w:t>142433199008272928</w:t>
      </w:r>
      <w:r>
        <w:rPr>
          <w:rFonts w:hint="eastAsia"/>
          <w:sz w:val="15"/>
          <w:szCs w:val="15"/>
        </w:rPr>
        <w:t xml:space="preserve">  </w:t>
      </w:r>
      <w:r>
        <w:rPr>
          <w:rFonts w:hint="eastAsia"/>
          <w:sz w:val="15"/>
          <w:szCs w:val="15"/>
          <w:lang w:val="en-US" w:eastAsia="zh-CN"/>
        </w:rPr>
        <w:t>冀A794GT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