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畅二冬</w:t>
      </w:r>
      <w:r>
        <w:rPr>
          <w:rFonts w:hint="eastAsia"/>
          <w:sz w:val="15"/>
          <w:szCs w:val="15"/>
          <w:highlight w:val="none"/>
        </w:rPr>
        <w:t>，</w:t>
      </w:r>
      <w:r>
        <w:rPr>
          <w:rFonts w:hint="eastAsia"/>
          <w:sz w:val="15"/>
          <w:szCs w:val="15"/>
          <w:highlight w:val="none"/>
          <w:lang w:val="en-US" w:eastAsia="zh-CN"/>
        </w:rPr>
        <w:t>142430199507102019</w:t>
      </w:r>
      <w:r>
        <w:rPr>
          <w:rFonts w:hint="eastAsia"/>
          <w:sz w:val="15"/>
          <w:szCs w:val="15"/>
        </w:rPr>
        <w:t xml:space="preserve">  </w:t>
      </w:r>
      <w:r>
        <w:rPr>
          <w:rFonts w:hint="eastAsia"/>
          <w:sz w:val="15"/>
          <w:szCs w:val="15"/>
          <w:lang w:val="en-US" w:eastAsia="zh-CN"/>
        </w:rPr>
        <w:t>晋KS1978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