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畅巨刚</w:t>
      </w:r>
      <w:r>
        <w:rPr>
          <w:rFonts w:hint="eastAsia"/>
          <w:sz w:val="15"/>
          <w:szCs w:val="15"/>
          <w:highlight w:val="none"/>
        </w:rPr>
        <w:t>，</w:t>
      </w:r>
      <w:r>
        <w:rPr>
          <w:rFonts w:hint="eastAsia"/>
          <w:sz w:val="15"/>
          <w:szCs w:val="15"/>
          <w:highlight w:val="none"/>
          <w:lang w:val="en-US" w:eastAsia="zh-CN"/>
        </w:rPr>
        <w:t>142430199411202031</w:t>
      </w:r>
      <w:r>
        <w:rPr>
          <w:rFonts w:hint="eastAsia"/>
          <w:sz w:val="15"/>
          <w:szCs w:val="15"/>
        </w:rPr>
        <w:t xml:space="preserve">  </w:t>
      </w:r>
      <w:r>
        <w:rPr>
          <w:rFonts w:hint="eastAsia"/>
          <w:sz w:val="15"/>
          <w:szCs w:val="15"/>
          <w:lang w:val="en-US" w:eastAsia="zh-CN"/>
        </w:rPr>
        <w:t>晋KM9099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