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张康</w:t>
      </w:r>
      <w:r>
        <w:rPr>
          <w:rFonts w:hint="eastAsia"/>
          <w:sz w:val="15"/>
          <w:szCs w:val="15"/>
          <w:highlight w:val="none"/>
        </w:rPr>
        <w:t>，</w:t>
      </w:r>
      <w:r>
        <w:rPr>
          <w:rFonts w:hint="eastAsia"/>
          <w:sz w:val="15"/>
          <w:szCs w:val="15"/>
          <w:highlight w:val="none"/>
          <w:lang w:val="en-US" w:eastAsia="zh-CN"/>
        </w:rPr>
        <w:t>142430199404162035</w:t>
      </w:r>
      <w:r>
        <w:rPr>
          <w:rFonts w:hint="eastAsia"/>
          <w:sz w:val="15"/>
          <w:szCs w:val="15"/>
        </w:rPr>
        <w:t xml:space="preserve">  </w:t>
      </w:r>
      <w:r>
        <w:rPr>
          <w:rFonts w:hint="eastAsia"/>
          <w:sz w:val="15"/>
          <w:szCs w:val="15"/>
          <w:lang w:val="en-US" w:eastAsia="zh-CN"/>
        </w:rPr>
        <w:t>晋AW1224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