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张伟</w:t>
      </w:r>
      <w:r>
        <w:rPr>
          <w:rFonts w:hint="eastAsia"/>
          <w:sz w:val="15"/>
          <w:szCs w:val="15"/>
          <w:highlight w:val="none"/>
        </w:rPr>
        <w:t>，</w:t>
      </w:r>
      <w:r>
        <w:rPr>
          <w:rFonts w:hint="eastAsia"/>
          <w:sz w:val="15"/>
          <w:szCs w:val="15"/>
          <w:highlight w:val="none"/>
          <w:lang w:val="en-US" w:eastAsia="zh-CN"/>
        </w:rPr>
        <w:t>142430198903010437</w:t>
      </w:r>
      <w:r>
        <w:rPr>
          <w:rFonts w:hint="eastAsia"/>
          <w:sz w:val="15"/>
          <w:szCs w:val="15"/>
        </w:rPr>
        <w:t xml:space="preserve">  </w:t>
      </w:r>
      <w:r>
        <w:rPr>
          <w:rFonts w:hint="eastAsia"/>
          <w:sz w:val="15"/>
          <w:szCs w:val="15"/>
          <w:lang w:val="en-US" w:eastAsia="zh-CN"/>
        </w:rPr>
        <w:t>晋AQ5527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